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EC5E" w14:textId="77777777" w:rsidR="00A82603" w:rsidRDefault="00A82603" w:rsidP="00917B53">
      <w:pPr>
        <w:jc w:val="center"/>
        <w:rPr>
          <w:rFonts w:ascii="Times New Roman" w:hAnsi="Times New Roman"/>
          <w:sz w:val="24"/>
        </w:rPr>
      </w:pPr>
    </w:p>
    <w:p w14:paraId="59641038" w14:textId="70E0EE46" w:rsidR="004930CA" w:rsidRDefault="00F668A0" w:rsidP="00917B53">
      <w:pPr>
        <w:jc w:val="center"/>
        <w:rPr>
          <w:rFonts w:ascii="Times New Roman" w:hAnsi="Times New Roman"/>
          <w:sz w:val="24"/>
        </w:rPr>
      </w:pPr>
      <w:r w:rsidRPr="00917B53">
        <w:rPr>
          <w:rFonts w:ascii="Times New Roman" w:hAnsi="Times New Roman"/>
          <w:sz w:val="24"/>
        </w:rPr>
        <w:t>THE</w:t>
      </w:r>
      <w:r w:rsidRPr="00917B53">
        <w:rPr>
          <w:rFonts w:ascii="Times New Roman" w:hAnsi="Times New Roman"/>
          <w:spacing w:val="-11"/>
          <w:sz w:val="24"/>
        </w:rPr>
        <w:t xml:space="preserve"> </w:t>
      </w:r>
      <w:r w:rsidRPr="00917B53">
        <w:rPr>
          <w:rFonts w:ascii="Times New Roman" w:hAnsi="Times New Roman"/>
          <w:sz w:val="24"/>
        </w:rPr>
        <w:t>HOUSING</w:t>
      </w:r>
      <w:r w:rsidRPr="00917B53">
        <w:rPr>
          <w:rFonts w:ascii="Times New Roman" w:hAnsi="Times New Roman"/>
          <w:spacing w:val="-5"/>
          <w:sz w:val="24"/>
        </w:rPr>
        <w:t xml:space="preserve"> </w:t>
      </w:r>
      <w:r w:rsidRPr="00917B53">
        <w:rPr>
          <w:rFonts w:ascii="Times New Roman" w:hAnsi="Times New Roman"/>
          <w:sz w:val="24"/>
        </w:rPr>
        <w:t>AUTHORITY</w:t>
      </w:r>
      <w:r w:rsidRPr="00917B53">
        <w:rPr>
          <w:rFonts w:ascii="Times New Roman" w:hAnsi="Times New Roman"/>
          <w:spacing w:val="3"/>
          <w:sz w:val="24"/>
        </w:rPr>
        <w:t xml:space="preserve"> </w:t>
      </w:r>
      <w:r w:rsidRPr="00917B53">
        <w:rPr>
          <w:rFonts w:ascii="Times New Roman" w:hAnsi="Times New Roman"/>
          <w:sz w:val="24"/>
        </w:rPr>
        <w:t>OF</w:t>
      </w:r>
      <w:r w:rsidRPr="00917B53">
        <w:rPr>
          <w:rFonts w:ascii="Times New Roman" w:hAnsi="Times New Roman"/>
          <w:spacing w:val="-11"/>
          <w:sz w:val="24"/>
        </w:rPr>
        <w:t xml:space="preserve"> </w:t>
      </w:r>
      <w:r w:rsidRPr="00917B53">
        <w:rPr>
          <w:rFonts w:ascii="Times New Roman" w:hAnsi="Times New Roman"/>
          <w:sz w:val="24"/>
        </w:rPr>
        <w:t>PLAINFIELD</w:t>
      </w:r>
    </w:p>
    <w:p w14:paraId="7ABEA26D" w14:textId="77777777" w:rsidR="00917B53" w:rsidRPr="00917B53" w:rsidRDefault="00917B53" w:rsidP="00917B53">
      <w:pPr>
        <w:jc w:val="center"/>
        <w:rPr>
          <w:rFonts w:ascii="Times New Roman" w:hAnsi="Times New Roman"/>
          <w:sz w:val="24"/>
        </w:rPr>
      </w:pPr>
    </w:p>
    <w:p w14:paraId="732E9FF1" w14:textId="187DA7BD" w:rsidR="004930CA" w:rsidRPr="00917B53" w:rsidRDefault="00F668A0" w:rsidP="00B16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B53">
        <w:rPr>
          <w:rFonts w:ascii="Times New Roman" w:hAnsi="Times New Roman"/>
          <w:sz w:val="24"/>
        </w:rPr>
        <w:t>REQUEST</w:t>
      </w:r>
      <w:r w:rsidR="0023487D">
        <w:rPr>
          <w:rFonts w:ascii="Times New Roman" w:hAnsi="Times New Roman"/>
          <w:sz w:val="24"/>
        </w:rPr>
        <w:t>S</w:t>
      </w:r>
      <w:r w:rsidRPr="00917B53">
        <w:rPr>
          <w:rFonts w:ascii="Times New Roman" w:hAnsi="Times New Roman"/>
          <w:sz w:val="24"/>
        </w:rPr>
        <w:t xml:space="preserve"> FOR </w:t>
      </w:r>
      <w:r w:rsidR="00B16994">
        <w:rPr>
          <w:rFonts w:ascii="Times New Roman" w:hAnsi="Times New Roman"/>
          <w:sz w:val="24"/>
        </w:rPr>
        <w:t xml:space="preserve">ARCHITECTURAL /ENGINEERING SERVICES </w:t>
      </w:r>
    </w:p>
    <w:p w14:paraId="5EBAC2DB" w14:textId="77777777" w:rsidR="004930CA" w:rsidRDefault="004930CA" w:rsidP="00917B53">
      <w:pPr>
        <w:pStyle w:val="BodyText"/>
        <w:spacing w:before="156"/>
        <w:jc w:val="both"/>
        <w:rPr>
          <w:rFonts w:ascii="Times New Roman" w:hAnsi="Times New Roman" w:cs="Times New Roman"/>
          <w:sz w:val="24"/>
          <w:szCs w:val="24"/>
        </w:rPr>
      </w:pPr>
    </w:p>
    <w:p w14:paraId="2891116B" w14:textId="77777777" w:rsidR="00A82603" w:rsidRDefault="00A82603" w:rsidP="00917B53">
      <w:pPr>
        <w:pStyle w:val="BodyText"/>
        <w:spacing w:before="156"/>
        <w:jc w:val="both"/>
        <w:rPr>
          <w:rFonts w:ascii="Times New Roman" w:hAnsi="Times New Roman" w:cs="Times New Roman"/>
          <w:sz w:val="24"/>
          <w:szCs w:val="24"/>
        </w:rPr>
      </w:pPr>
    </w:p>
    <w:p w14:paraId="602150BD" w14:textId="77777777" w:rsidR="00A82603" w:rsidRPr="00917B53" w:rsidRDefault="00A82603" w:rsidP="00917B53">
      <w:pPr>
        <w:pStyle w:val="BodyText"/>
        <w:spacing w:before="156"/>
        <w:jc w:val="both"/>
        <w:rPr>
          <w:rFonts w:ascii="Times New Roman" w:hAnsi="Times New Roman" w:cs="Times New Roman"/>
          <w:sz w:val="24"/>
          <w:szCs w:val="24"/>
        </w:rPr>
      </w:pPr>
    </w:p>
    <w:p w14:paraId="354D7086" w14:textId="604B7CA4" w:rsidR="007C5619" w:rsidRDefault="00F668A0" w:rsidP="00016405">
      <w:pPr>
        <w:pStyle w:val="BodyText"/>
        <w:spacing w:line="295" w:lineRule="auto"/>
        <w:ind w:left="162" w:right="207" w:firstLine="558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917B53">
        <w:rPr>
          <w:rFonts w:ascii="Times New Roman" w:hAnsi="Times New Roman" w:cs="Times New Roman"/>
          <w:color w:val="0E0E0E"/>
          <w:sz w:val="24"/>
          <w:szCs w:val="24"/>
        </w:rPr>
        <w:t xml:space="preserve">The Housing Authority of Plainfield is requesting </w:t>
      </w:r>
      <w:r w:rsidR="00B16994">
        <w:rPr>
          <w:rFonts w:ascii="Times New Roman" w:hAnsi="Times New Roman" w:cs="Times New Roman"/>
          <w:color w:val="0E0E0E"/>
          <w:sz w:val="24"/>
          <w:szCs w:val="24"/>
        </w:rPr>
        <w:t xml:space="preserve">architectural and engineering </w:t>
      </w:r>
      <w:r w:rsidR="007C5619">
        <w:rPr>
          <w:rFonts w:ascii="Times New Roman" w:hAnsi="Times New Roman" w:cs="Times New Roman"/>
          <w:color w:val="0E0E0E"/>
          <w:sz w:val="24"/>
          <w:szCs w:val="24"/>
        </w:rPr>
        <w:t>services for</w:t>
      </w:r>
      <w:r w:rsidR="00B16994">
        <w:rPr>
          <w:rFonts w:ascii="Times New Roman" w:hAnsi="Times New Roman" w:cs="Times New Roman"/>
          <w:color w:val="0E0E0E"/>
          <w:sz w:val="24"/>
          <w:szCs w:val="24"/>
        </w:rPr>
        <w:t xml:space="preserve"> a period of one 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>year to</w:t>
      </w:r>
      <w:r w:rsidR="001948A4">
        <w:rPr>
          <w:rFonts w:ascii="Times New Roman" w:hAnsi="Times New Roman" w:cs="Times New Roman"/>
          <w:color w:val="0E0E0E"/>
          <w:sz w:val="24"/>
          <w:szCs w:val="24"/>
        </w:rPr>
        <w:t xml:space="preserve"> assist the Authority to </w:t>
      </w:r>
      <w:r w:rsidR="00FA5583">
        <w:rPr>
          <w:rFonts w:ascii="Times New Roman" w:hAnsi="Times New Roman" w:cs="Times New Roman"/>
          <w:color w:val="0E0E0E"/>
          <w:sz w:val="24"/>
          <w:szCs w:val="24"/>
        </w:rPr>
        <w:t>implement, renovate</w:t>
      </w:r>
      <w:r w:rsidR="00D90F2B">
        <w:rPr>
          <w:rFonts w:ascii="Times New Roman" w:hAnsi="Times New Roman" w:cs="Times New Roman"/>
          <w:color w:val="0E0E0E"/>
          <w:sz w:val="24"/>
          <w:szCs w:val="24"/>
        </w:rPr>
        <w:t xml:space="preserve">, 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>repair and</w:t>
      </w:r>
      <w:r w:rsidR="00D90F2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>replace</w:t>
      </w:r>
      <w:r w:rsidR="0023487D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 xml:space="preserve">work projects </w:t>
      </w:r>
      <w:r w:rsidR="00FA5583">
        <w:rPr>
          <w:rFonts w:ascii="Times New Roman" w:hAnsi="Times New Roman" w:cs="Times New Roman"/>
          <w:color w:val="0E0E0E"/>
          <w:sz w:val="24"/>
          <w:szCs w:val="24"/>
        </w:rPr>
        <w:t xml:space="preserve">associated with the </w:t>
      </w:r>
      <w:r w:rsidR="00D90F2B">
        <w:rPr>
          <w:rFonts w:ascii="Times New Roman" w:hAnsi="Times New Roman" w:cs="Times New Roman"/>
          <w:color w:val="0E0E0E"/>
          <w:sz w:val="24"/>
          <w:szCs w:val="24"/>
        </w:rPr>
        <w:t>infrastructure</w:t>
      </w:r>
      <w:r w:rsidR="00FA5583">
        <w:rPr>
          <w:rFonts w:ascii="Times New Roman" w:hAnsi="Times New Roman" w:cs="Times New Roman"/>
          <w:color w:val="0E0E0E"/>
          <w:sz w:val="24"/>
          <w:szCs w:val="24"/>
        </w:rPr>
        <w:t xml:space="preserve"> system, dwelling structure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, common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 xml:space="preserve">areas </w:t>
      </w:r>
      <w:r w:rsidR="0023487D">
        <w:rPr>
          <w:rFonts w:ascii="Times New Roman" w:hAnsi="Times New Roman" w:cs="Times New Roman"/>
          <w:color w:val="0E0E0E"/>
          <w:sz w:val="24"/>
          <w:szCs w:val="24"/>
        </w:rPr>
        <w:t>and the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E33E50">
        <w:rPr>
          <w:rFonts w:ascii="Times New Roman" w:hAnsi="Times New Roman" w:cs="Times New Roman"/>
          <w:color w:val="0E0E0E"/>
          <w:sz w:val="24"/>
          <w:szCs w:val="24"/>
        </w:rPr>
        <w:t>exterior improvement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 for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 xml:space="preserve"> the two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 xml:space="preserve"> housing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>complexes: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 xml:space="preserve"> Joanne Hollis Gardens and Richmond Towers, 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>on a need</w:t>
      </w:r>
      <w:r w:rsidR="0077684B">
        <w:rPr>
          <w:rFonts w:ascii="Times New Roman" w:hAnsi="Times New Roman" w:cs="Times New Roman"/>
          <w:color w:val="0E0E0E"/>
          <w:sz w:val="24"/>
          <w:szCs w:val="24"/>
        </w:rPr>
        <w:t xml:space="preserve"> and on </w:t>
      </w:r>
      <w:r w:rsidR="00BD1F34">
        <w:rPr>
          <w:rFonts w:ascii="Times New Roman" w:hAnsi="Times New Roman" w:cs="Times New Roman"/>
          <w:color w:val="0E0E0E"/>
          <w:sz w:val="24"/>
          <w:szCs w:val="24"/>
        </w:rPr>
        <w:t>a call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 xml:space="preserve"> basis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>.</w:t>
      </w:r>
      <w:r w:rsidRPr="00917B53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 xml:space="preserve">The firms or individuals providing services shall be licensed in the State of New </w:t>
      </w:r>
      <w:r w:rsidR="0023487D">
        <w:rPr>
          <w:rFonts w:ascii="Times New Roman" w:hAnsi="Times New Roman" w:cs="Times New Roman"/>
          <w:color w:val="0E0E0E"/>
          <w:sz w:val="24"/>
          <w:szCs w:val="24"/>
        </w:rPr>
        <w:t>J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>ersey, processe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>s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 xml:space="preserve"> a certificate of insurance with professional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 xml:space="preserve"> omission</w:t>
      </w:r>
      <w:r w:rsidR="00046339">
        <w:rPr>
          <w:rFonts w:ascii="Times New Roman" w:hAnsi="Times New Roman" w:cs="Times New Roman"/>
          <w:color w:val="0E0E0E"/>
          <w:sz w:val="24"/>
          <w:szCs w:val="24"/>
        </w:rPr>
        <w:t>s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 xml:space="preserve"> /</w:t>
      </w:r>
      <w:r w:rsidR="00B41B8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errors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>insurance</w:t>
      </w:r>
      <w:r w:rsidR="007C5619">
        <w:rPr>
          <w:rFonts w:ascii="Times New Roman" w:hAnsi="Times New Roman" w:cs="Times New Roman"/>
          <w:color w:val="0E0E0E"/>
          <w:sz w:val="24"/>
          <w:szCs w:val="24"/>
        </w:rPr>
        <w:t xml:space="preserve"> with 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>a minimum of</w:t>
      </w:r>
      <w:r w:rsidR="007C5619">
        <w:rPr>
          <w:rFonts w:ascii="Times New Roman" w:hAnsi="Times New Roman" w:cs="Times New Roman"/>
          <w:color w:val="0E0E0E"/>
          <w:sz w:val="24"/>
          <w:szCs w:val="24"/>
        </w:rPr>
        <w:t xml:space="preserve"> one million dollars and ten</w:t>
      </w:r>
      <w:r w:rsidR="00AD3F97">
        <w:rPr>
          <w:rFonts w:ascii="Times New Roman" w:hAnsi="Times New Roman" w:cs="Times New Roman"/>
          <w:color w:val="0E0E0E"/>
          <w:sz w:val="24"/>
          <w:szCs w:val="24"/>
        </w:rPr>
        <w:t xml:space="preserve"> (10) years of </w:t>
      </w:r>
      <w:r w:rsidR="007C5619">
        <w:rPr>
          <w:rFonts w:ascii="Times New Roman" w:hAnsi="Times New Roman" w:cs="Times New Roman"/>
          <w:color w:val="0E0E0E"/>
          <w:sz w:val="24"/>
          <w:szCs w:val="24"/>
        </w:rPr>
        <w:t>experience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 in</w:t>
      </w:r>
      <w:r w:rsidR="00046339">
        <w:rPr>
          <w:rFonts w:ascii="Times New Roman" w:hAnsi="Times New Roman" w:cs="Times New Roman"/>
          <w:color w:val="0E0E0E"/>
          <w:sz w:val="24"/>
          <w:szCs w:val="24"/>
        </w:rPr>
        <w:t xml:space="preserve"> the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>similar</w:t>
      </w:r>
      <w:r w:rsidR="00C5121B">
        <w:rPr>
          <w:rFonts w:ascii="Times New Roman" w:hAnsi="Times New Roman" w:cs="Times New Roman"/>
          <w:color w:val="0E0E0E"/>
          <w:sz w:val="24"/>
          <w:szCs w:val="24"/>
        </w:rPr>
        <w:t xml:space="preserve"> work are</w:t>
      </w:r>
      <w:r w:rsidR="007C5619">
        <w:rPr>
          <w:rFonts w:ascii="Times New Roman" w:hAnsi="Times New Roman" w:cs="Times New Roman"/>
          <w:color w:val="0E0E0E"/>
          <w:sz w:val="24"/>
          <w:szCs w:val="24"/>
        </w:rPr>
        <w:t xml:space="preserve"> encouraged to submit proposals.</w:t>
      </w:r>
      <w:r w:rsidR="0077684B">
        <w:rPr>
          <w:rFonts w:ascii="Times New Roman" w:hAnsi="Times New Roman" w:cs="Times New Roman"/>
          <w:color w:val="0E0E0E"/>
          <w:sz w:val="24"/>
          <w:szCs w:val="24"/>
        </w:rPr>
        <w:t xml:space="preserve">  The professional services to be </w:t>
      </w:r>
      <w:r w:rsidR="00E501F2">
        <w:rPr>
          <w:rFonts w:ascii="Times New Roman" w:hAnsi="Times New Roman" w:cs="Times New Roman"/>
          <w:color w:val="0E0E0E"/>
          <w:sz w:val="24"/>
          <w:szCs w:val="24"/>
        </w:rPr>
        <w:t xml:space="preserve">rendered to </w:t>
      </w:r>
      <w:r w:rsidR="0077684B">
        <w:rPr>
          <w:rFonts w:ascii="Times New Roman" w:hAnsi="Times New Roman" w:cs="Times New Roman"/>
          <w:color w:val="0E0E0E"/>
          <w:sz w:val="24"/>
          <w:szCs w:val="24"/>
        </w:rPr>
        <w:t xml:space="preserve">the Authority shall not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>exceed</w:t>
      </w:r>
      <w:r w:rsidR="0077684B">
        <w:rPr>
          <w:rFonts w:ascii="Times New Roman" w:hAnsi="Times New Roman" w:cs="Times New Roman"/>
          <w:color w:val="0E0E0E"/>
          <w:sz w:val="24"/>
          <w:szCs w:val="24"/>
        </w:rPr>
        <w:t xml:space="preserve"> $60,000 per year.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 xml:space="preserve">  </w:t>
      </w:r>
    </w:p>
    <w:p w14:paraId="43BD7709" w14:textId="33E3F9FB" w:rsidR="004930CA" w:rsidRDefault="0077684B" w:rsidP="00016405">
      <w:pPr>
        <w:pStyle w:val="BodyText"/>
        <w:spacing w:line="295" w:lineRule="auto"/>
        <w:ind w:left="162" w:right="207" w:firstLine="558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>
        <w:rPr>
          <w:rFonts w:ascii="Times New Roman" w:hAnsi="Times New Roman" w:cs="Times New Roman"/>
          <w:color w:val="0E0E0E"/>
          <w:sz w:val="24"/>
          <w:szCs w:val="24"/>
        </w:rPr>
        <w:t xml:space="preserve">The </w:t>
      </w:r>
      <w:r w:rsidRPr="00917B53">
        <w:rPr>
          <w:rFonts w:ascii="Times New Roman" w:hAnsi="Times New Roman" w:cs="Times New Roman"/>
          <w:color w:val="0E0E0E"/>
          <w:sz w:val="24"/>
          <w:szCs w:val="24"/>
        </w:rPr>
        <w:t>scope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 xml:space="preserve"> of</w:t>
      </w:r>
      <w:r w:rsidR="00F668A0" w:rsidRPr="00917B53">
        <w:rPr>
          <w:rFonts w:ascii="Times New Roman" w:hAnsi="Times New Roman" w:cs="Times New Roman"/>
          <w:color w:val="0E0E0E"/>
          <w:spacing w:val="-4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services and the general requirements can be obtained from the Housing Authority of</w:t>
      </w:r>
      <w:r w:rsidR="00F668A0" w:rsidRPr="00917B53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Plainfield at 510 East Front Street, Plainfield, NJ</w:t>
      </w:r>
      <w:r w:rsidR="00F668A0" w:rsidRPr="00917B53">
        <w:rPr>
          <w:rFonts w:ascii="Times New Roman" w:hAnsi="Times New Roman" w:cs="Times New Roman"/>
          <w:color w:val="0E0E0E"/>
          <w:spacing w:val="-3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07060</w:t>
      </w:r>
      <w:r w:rsidR="00F668A0" w:rsidRPr="00917B53">
        <w:rPr>
          <w:rFonts w:ascii="Times New Roman" w:hAnsi="Times New Roman" w:cs="Times New Roman"/>
          <w:color w:val="0E0E0E"/>
          <w:spacing w:val="-6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between the hours of</w:t>
      </w:r>
      <w:r w:rsidR="00F668A0" w:rsidRPr="00917B53">
        <w:rPr>
          <w:rFonts w:ascii="Times New Roman" w:hAnsi="Times New Roman" w:cs="Times New Roman"/>
          <w:color w:val="0E0E0E"/>
          <w:spacing w:val="-14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9:00 am and 4:00</w:t>
      </w:r>
      <w:r w:rsidR="00F668A0" w:rsidRPr="00917B53">
        <w:rPr>
          <w:rFonts w:ascii="Times New Roman" w:hAnsi="Times New Roman" w:cs="Times New Roman"/>
          <w:color w:val="0E0E0E"/>
          <w:spacing w:val="-6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pm.</w:t>
      </w:r>
      <w:r w:rsidR="00F668A0" w:rsidRPr="00917B53">
        <w:rPr>
          <w:rFonts w:ascii="Times New Roman" w:hAnsi="Times New Roman" w:cs="Times New Roman"/>
          <w:color w:val="0E0E0E"/>
          <w:spacing w:val="-4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Please call</w:t>
      </w:r>
      <w:r w:rsidR="00F668A0" w:rsidRPr="00917B53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(908)769-6335 for any questions you may have.</w:t>
      </w:r>
    </w:p>
    <w:p w14:paraId="45BA2BC6" w14:textId="64479939" w:rsidR="0077684B" w:rsidRDefault="0077684B" w:rsidP="00016405">
      <w:pPr>
        <w:pStyle w:val="BodyText"/>
        <w:spacing w:line="295" w:lineRule="auto"/>
        <w:ind w:left="162" w:right="207" w:firstLine="558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>
        <w:rPr>
          <w:rFonts w:ascii="Times New Roman" w:hAnsi="Times New Roman" w:cs="Times New Roman"/>
          <w:color w:val="0E0E0E"/>
          <w:sz w:val="24"/>
          <w:szCs w:val="24"/>
        </w:rPr>
        <w:t xml:space="preserve">One original and two copies of proposal packages are required to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>be delivered</w:t>
      </w:r>
      <w:r>
        <w:rPr>
          <w:rFonts w:ascii="Times New Roman" w:hAnsi="Times New Roman" w:cs="Times New Roman"/>
          <w:color w:val="0E0E0E"/>
          <w:sz w:val="24"/>
          <w:szCs w:val="24"/>
        </w:rPr>
        <w:t xml:space="preserve"> to the Administration Office, located at 510 East Front Street, Plainfield, New Jersey on and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 xml:space="preserve">before 11: A.M., July 23, 2025.  </w:t>
      </w:r>
      <w:r w:rsidR="00FC560B">
        <w:rPr>
          <w:rFonts w:ascii="Times New Roman" w:hAnsi="Times New Roman" w:cs="Times New Roman"/>
          <w:color w:val="0E0E0E"/>
          <w:sz w:val="24"/>
          <w:szCs w:val="24"/>
        </w:rPr>
        <w:t xml:space="preserve">All proposals will be evaluated, rated and ranked in accordance with evaluation criteria set forth in the proposals. Services will be awarded to a qualified and responsible firm whose proposal is the most advantageous to the Authority. </w:t>
      </w:r>
      <w:r w:rsidR="00BD1F34">
        <w:rPr>
          <w:rFonts w:ascii="Times New Roman" w:hAnsi="Times New Roman" w:cs="Times New Roman"/>
          <w:color w:val="0E0E0E"/>
          <w:sz w:val="24"/>
          <w:szCs w:val="24"/>
        </w:rPr>
        <w:t>The Authority</w:t>
      </w:r>
      <w:r w:rsidR="00FC560B">
        <w:rPr>
          <w:rFonts w:ascii="Times New Roman" w:hAnsi="Times New Roman" w:cs="Times New Roman"/>
          <w:color w:val="0E0E0E"/>
          <w:sz w:val="24"/>
          <w:szCs w:val="24"/>
        </w:rPr>
        <w:t xml:space="preserve"> reserves the right to reject </w:t>
      </w:r>
      <w:r w:rsidR="00BD1F34">
        <w:rPr>
          <w:rFonts w:ascii="Times New Roman" w:hAnsi="Times New Roman" w:cs="Times New Roman"/>
          <w:color w:val="0E0E0E"/>
          <w:sz w:val="24"/>
          <w:szCs w:val="24"/>
        </w:rPr>
        <w:t>any or</w:t>
      </w:r>
      <w:r w:rsidR="00FC560B">
        <w:rPr>
          <w:rFonts w:ascii="Times New Roman" w:hAnsi="Times New Roman" w:cs="Times New Roman"/>
          <w:color w:val="0E0E0E"/>
          <w:sz w:val="24"/>
          <w:szCs w:val="24"/>
        </w:rPr>
        <w:t xml:space="preserve"> all proposals. </w:t>
      </w:r>
      <w:r w:rsidR="00103295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</w:p>
    <w:p w14:paraId="3A377C03" w14:textId="1AD80C80" w:rsidR="004930CA" w:rsidRDefault="004930CA" w:rsidP="00917B53">
      <w:pPr>
        <w:pStyle w:val="BodyText"/>
        <w:spacing w:line="295" w:lineRule="auto"/>
        <w:ind w:left="138" w:right="180" w:firstLine="582"/>
        <w:jc w:val="both"/>
        <w:rPr>
          <w:rFonts w:ascii="Times New Roman" w:hAnsi="Times New Roman" w:cs="Times New Roman"/>
          <w:color w:val="0E0E0E"/>
          <w:sz w:val="24"/>
          <w:szCs w:val="24"/>
        </w:rPr>
      </w:pPr>
    </w:p>
    <w:p w14:paraId="5955EB30" w14:textId="64A0A1B5" w:rsidR="004930CA" w:rsidRPr="00917B53" w:rsidRDefault="002E7FD9" w:rsidP="00BD1F34">
      <w:pPr>
        <w:pStyle w:val="BodyText"/>
        <w:tabs>
          <w:tab w:val="left" w:pos="2402"/>
        </w:tabs>
        <w:spacing w:before="59" w:line="304" w:lineRule="auto"/>
        <w:ind w:left="108" w:right="100"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BD1F34">
        <w:rPr>
          <w:rFonts w:ascii="Times New Roman" w:hAnsi="Times New Roman" w:cs="Times New Roman"/>
          <w:color w:val="0E0E0E"/>
          <w:sz w:val="24"/>
          <w:szCs w:val="24"/>
        </w:rPr>
        <w:t xml:space="preserve">        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 xml:space="preserve">The Housing Authority of Plainfield reserves the right to choose the best qualified candidate for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the</w:t>
      </w:r>
      <w:r w:rsidR="00F668A0" w:rsidRPr="00917B53">
        <w:rPr>
          <w:rFonts w:ascii="Times New Roman" w:hAnsi="Times New Roman" w:cs="Times New Roman"/>
          <w:color w:val="0E0E0E"/>
          <w:spacing w:val="-17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position.</w:t>
      </w:r>
      <w:r w:rsidR="00F668A0" w:rsidRPr="00917B53">
        <w:rPr>
          <w:rFonts w:ascii="Times New Roman" w:hAnsi="Times New Roman" w:cs="Times New Roman"/>
          <w:color w:val="0E0E0E"/>
          <w:spacing w:val="80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The</w:t>
      </w:r>
      <w:r w:rsidR="00F668A0" w:rsidRPr="00917B53">
        <w:rPr>
          <w:rFonts w:ascii="Times New Roman" w:hAnsi="Times New Roman" w:cs="Times New Roman"/>
          <w:color w:val="0E0E0E"/>
          <w:spacing w:val="-3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Housing</w:t>
      </w:r>
      <w:r w:rsidR="00F668A0" w:rsidRPr="00917B53">
        <w:rPr>
          <w:rFonts w:ascii="Times New Roman" w:hAnsi="Times New Roman" w:cs="Times New Roman"/>
          <w:color w:val="0E0E0E"/>
          <w:spacing w:val="-6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Authority is</w:t>
      </w:r>
      <w:r w:rsidR="00F668A0" w:rsidRPr="00917B53">
        <w:rPr>
          <w:rFonts w:ascii="Times New Roman" w:hAnsi="Times New Roman" w:cs="Times New Roman"/>
          <w:color w:val="0E0E0E"/>
          <w:spacing w:val="-8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required to</w:t>
      </w:r>
      <w:r w:rsidR="00F668A0" w:rsidRPr="00917B53">
        <w:rPr>
          <w:rFonts w:ascii="Times New Roman" w:hAnsi="Times New Roman" w:cs="Times New Roman"/>
          <w:color w:val="0E0E0E"/>
          <w:spacing w:val="-14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comply with</w:t>
      </w:r>
      <w:r w:rsidR="00F668A0" w:rsidRPr="00917B53">
        <w:rPr>
          <w:rFonts w:ascii="Times New Roman" w:hAnsi="Times New Roman" w:cs="Times New Roman"/>
          <w:color w:val="0E0E0E"/>
          <w:spacing w:val="-11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the</w:t>
      </w:r>
      <w:r w:rsidR="00F668A0" w:rsidRPr="00917B53">
        <w:rPr>
          <w:rFonts w:ascii="Times New Roman" w:hAnsi="Times New Roman" w:cs="Times New Roman"/>
          <w:color w:val="0E0E0E"/>
          <w:spacing w:val="-8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requirement of</w:t>
      </w:r>
      <w:r w:rsidR="00F668A0" w:rsidRPr="00917B53">
        <w:rPr>
          <w:rFonts w:ascii="Times New Roman" w:hAnsi="Times New Roman" w:cs="Times New Roman"/>
          <w:color w:val="0E0E0E"/>
          <w:spacing w:val="-15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PL</w:t>
      </w:r>
      <w:r w:rsidR="00F668A0" w:rsidRPr="00917B53">
        <w:rPr>
          <w:rFonts w:ascii="Times New Roman" w:hAnsi="Times New Roman" w:cs="Times New Roman"/>
          <w:color w:val="0E0E0E"/>
          <w:spacing w:val="-23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>1975</w:t>
      </w:r>
      <w:r w:rsidR="00917B53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C.127. Affirmative Action and</w:t>
      </w:r>
      <w:r w:rsidR="00F668A0" w:rsidRPr="00917B53">
        <w:rPr>
          <w:rFonts w:ascii="Times New Roman" w:hAnsi="Times New Roman" w:cs="Times New Roman"/>
          <w:color w:val="0E0E0E"/>
          <w:spacing w:val="-6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Equal</w:t>
      </w:r>
      <w:r w:rsidR="00F668A0" w:rsidRPr="00917B53">
        <w:rPr>
          <w:rFonts w:ascii="Times New Roman" w:hAnsi="Times New Roman" w:cs="Times New Roman"/>
          <w:color w:val="0E0E0E"/>
          <w:spacing w:val="-1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Employment Law</w:t>
      </w:r>
      <w:r w:rsidR="00F668A0" w:rsidRPr="00917B53">
        <w:rPr>
          <w:rFonts w:ascii="Times New Roman" w:hAnsi="Times New Roman" w:cs="Times New Roman"/>
          <w:color w:val="0E0E0E"/>
          <w:spacing w:val="-7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in</w:t>
      </w:r>
      <w:r w:rsidR="00F668A0" w:rsidRPr="00917B53">
        <w:rPr>
          <w:rFonts w:ascii="Times New Roman" w:hAnsi="Times New Roman" w:cs="Times New Roman"/>
          <w:color w:val="0E0E0E"/>
          <w:spacing w:val="-7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accordance with</w:t>
      </w:r>
      <w:r w:rsidR="00F668A0" w:rsidRPr="00917B53">
        <w:rPr>
          <w:rFonts w:ascii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the</w:t>
      </w:r>
      <w:r w:rsidR="00F668A0" w:rsidRPr="00917B53">
        <w:rPr>
          <w:rFonts w:ascii="Times New Roman" w:hAnsi="Times New Roman" w:cs="Times New Roman"/>
          <w:color w:val="0E0E0E"/>
          <w:spacing w:val="-1"/>
          <w:sz w:val="24"/>
          <w:szCs w:val="24"/>
        </w:rPr>
        <w:t xml:space="preserve"> </w:t>
      </w:r>
      <w:r w:rsidR="00F668A0" w:rsidRPr="00917B53">
        <w:rPr>
          <w:rFonts w:ascii="Times New Roman" w:hAnsi="Times New Roman" w:cs="Times New Roman"/>
          <w:color w:val="0E0E0E"/>
          <w:sz w:val="24"/>
          <w:szCs w:val="24"/>
        </w:rPr>
        <w:t>applicable state and federal regulations.</w:t>
      </w:r>
    </w:p>
    <w:p w14:paraId="502C8912" w14:textId="77777777" w:rsidR="004930CA" w:rsidRPr="00917B53" w:rsidRDefault="004930CA" w:rsidP="00917B5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57936250" w14:textId="77777777" w:rsidR="004930CA" w:rsidRDefault="004930CA">
      <w:pPr>
        <w:pStyle w:val="BodyText"/>
        <w:spacing w:before="145"/>
      </w:pPr>
    </w:p>
    <w:p w14:paraId="4C2F6AAF" w14:textId="77777777" w:rsidR="004930CA" w:rsidRPr="00917B53" w:rsidRDefault="00F668A0">
      <w:pPr>
        <w:pStyle w:val="Title"/>
        <w:rPr>
          <w:rFonts w:ascii="Times New Roman" w:hAnsi="Times New Roman" w:cs="Times New Roman"/>
        </w:rPr>
      </w:pPr>
      <w:r w:rsidRPr="00917B53">
        <w:rPr>
          <w:rFonts w:ascii="Times New Roman" w:hAnsi="Times New Roman" w:cs="Times New Roman"/>
          <w:color w:val="0E0E0E"/>
        </w:rPr>
        <w:t>Randall</w:t>
      </w:r>
      <w:r w:rsidRPr="00917B53">
        <w:rPr>
          <w:rFonts w:ascii="Times New Roman" w:hAnsi="Times New Roman" w:cs="Times New Roman"/>
          <w:color w:val="0E0E0E"/>
          <w:spacing w:val="7"/>
        </w:rPr>
        <w:t xml:space="preserve"> </w:t>
      </w:r>
      <w:r w:rsidRPr="00917B53">
        <w:rPr>
          <w:rFonts w:ascii="Times New Roman" w:hAnsi="Times New Roman" w:cs="Times New Roman"/>
          <w:color w:val="0E0E0E"/>
        </w:rPr>
        <w:t>Wood,</w:t>
      </w:r>
      <w:r w:rsidRPr="00917B53">
        <w:rPr>
          <w:rFonts w:ascii="Times New Roman" w:hAnsi="Times New Roman" w:cs="Times New Roman"/>
          <w:color w:val="0E0E0E"/>
          <w:spacing w:val="-7"/>
        </w:rPr>
        <w:t xml:space="preserve"> </w:t>
      </w:r>
      <w:r w:rsidRPr="00917B53">
        <w:rPr>
          <w:rFonts w:ascii="Times New Roman" w:hAnsi="Times New Roman" w:cs="Times New Roman"/>
          <w:color w:val="0E0E0E"/>
        </w:rPr>
        <w:t xml:space="preserve">Executive </w:t>
      </w:r>
      <w:r w:rsidRPr="00917B53">
        <w:rPr>
          <w:rFonts w:ascii="Times New Roman" w:hAnsi="Times New Roman" w:cs="Times New Roman"/>
          <w:color w:val="0E0E0E"/>
          <w:spacing w:val="-2"/>
        </w:rPr>
        <w:t>Director</w:t>
      </w:r>
    </w:p>
    <w:sectPr w:rsidR="004930CA" w:rsidRPr="00917B53" w:rsidSect="00082CA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0CA"/>
    <w:rsid w:val="00016405"/>
    <w:rsid w:val="00046339"/>
    <w:rsid w:val="00082CA9"/>
    <w:rsid w:val="00093684"/>
    <w:rsid w:val="000D613A"/>
    <w:rsid w:val="000E134C"/>
    <w:rsid w:val="00103295"/>
    <w:rsid w:val="001272CD"/>
    <w:rsid w:val="00161095"/>
    <w:rsid w:val="001948A4"/>
    <w:rsid w:val="001E38AA"/>
    <w:rsid w:val="00206EC0"/>
    <w:rsid w:val="0021422C"/>
    <w:rsid w:val="0023487D"/>
    <w:rsid w:val="00295D4E"/>
    <w:rsid w:val="002E10F3"/>
    <w:rsid w:val="002E7FD9"/>
    <w:rsid w:val="002F3AE9"/>
    <w:rsid w:val="00321BAB"/>
    <w:rsid w:val="00332ED9"/>
    <w:rsid w:val="00390006"/>
    <w:rsid w:val="0039348B"/>
    <w:rsid w:val="003A3A4D"/>
    <w:rsid w:val="003B08D4"/>
    <w:rsid w:val="003D1D0C"/>
    <w:rsid w:val="00436FB7"/>
    <w:rsid w:val="004513EC"/>
    <w:rsid w:val="00471125"/>
    <w:rsid w:val="0047245E"/>
    <w:rsid w:val="004930CA"/>
    <w:rsid w:val="0049785E"/>
    <w:rsid w:val="004A3D69"/>
    <w:rsid w:val="00530441"/>
    <w:rsid w:val="00537038"/>
    <w:rsid w:val="005A0557"/>
    <w:rsid w:val="005D1A8B"/>
    <w:rsid w:val="00605990"/>
    <w:rsid w:val="006318F7"/>
    <w:rsid w:val="006367D7"/>
    <w:rsid w:val="00683AFD"/>
    <w:rsid w:val="00691D06"/>
    <w:rsid w:val="0069517D"/>
    <w:rsid w:val="006A6B52"/>
    <w:rsid w:val="006B2C54"/>
    <w:rsid w:val="00732A24"/>
    <w:rsid w:val="00770B01"/>
    <w:rsid w:val="0077684B"/>
    <w:rsid w:val="00777327"/>
    <w:rsid w:val="0079296A"/>
    <w:rsid w:val="007C5619"/>
    <w:rsid w:val="00850D20"/>
    <w:rsid w:val="00871077"/>
    <w:rsid w:val="00884BC7"/>
    <w:rsid w:val="008954C0"/>
    <w:rsid w:val="00900242"/>
    <w:rsid w:val="00917B53"/>
    <w:rsid w:val="009538CA"/>
    <w:rsid w:val="00981DD8"/>
    <w:rsid w:val="009D3FBA"/>
    <w:rsid w:val="00A00A85"/>
    <w:rsid w:val="00A14B61"/>
    <w:rsid w:val="00A31B09"/>
    <w:rsid w:val="00A50D73"/>
    <w:rsid w:val="00A71D8B"/>
    <w:rsid w:val="00A72E2E"/>
    <w:rsid w:val="00A82603"/>
    <w:rsid w:val="00A85DD1"/>
    <w:rsid w:val="00AD2E4C"/>
    <w:rsid w:val="00AD3F97"/>
    <w:rsid w:val="00AE08C5"/>
    <w:rsid w:val="00B15741"/>
    <w:rsid w:val="00B16994"/>
    <w:rsid w:val="00B41B86"/>
    <w:rsid w:val="00B64213"/>
    <w:rsid w:val="00BC6027"/>
    <w:rsid w:val="00BD1F34"/>
    <w:rsid w:val="00C12022"/>
    <w:rsid w:val="00C5121B"/>
    <w:rsid w:val="00CC7F98"/>
    <w:rsid w:val="00CD7A02"/>
    <w:rsid w:val="00D07929"/>
    <w:rsid w:val="00D1383A"/>
    <w:rsid w:val="00D258B5"/>
    <w:rsid w:val="00D62DD2"/>
    <w:rsid w:val="00D6586E"/>
    <w:rsid w:val="00D90F2B"/>
    <w:rsid w:val="00D95A5C"/>
    <w:rsid w:val="00DB6639"/>
    <w:rsid w:val="00DD0F12"/>
    <w:rsid w:val="00DF4A24"/>
    <w:rsid w:val="00E07888"/>
    <w:rsid w:val="00E33E50"/>
    <w:rsid w:val="00E47E41"/>
    <w:rsid w:val="00E501F2"/>
    <w:rsid w:val="00E607A4"/>
    <w:rsid w:val="00E80941"/>
    <w:rsid w:val="00E83DCE"/>
    <w:rsid w:val="00F13F69"/>
    <w:rsid w:val="00F26DA5"/>
    <w:rsid w:val="00F4449D"/>
    <w:rsid w:val="00F56EF8"/>
    <w:rsid w:val="00F668A0"/>
    <w:rsid w:val="00F870E3"/>
    <w:rsid w:val="00FA5583"/>
    <w:rsid w:val="00FB6163"/>
    <w:rsid w:val="00FC560B"/>
    <w:rsid w:val="00FD251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E749"/>
  <w15:docId w15:val="{6AF342B3-1A6F-44A1-84A3-74981B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9" w:right="122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4C55-D244-48F1-ADE3-1067E932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 Chang</cp:lastModifiedBy>
  <cp:revision>2</cp:revision>
  <cp:lastPrinted>2025-06-30T16:39:00Z</cp:lastPrinted>
  <dcterms:created xsi:type="dcterms:W3CDTF">2025-06-30T16:44:00Z</dcterms:created>
  <dcterms:modified xsi:type="dcterms:W3CDTF">2025-06-30T16:44:00Z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Canon iR-ADV C3835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2024-03-07T00:00:00Z</vt:filetime>
  </property>
</Properties>
</file>